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3303ED35" w:rsidR="001A0EED" w:rsidRPr="001314D8" w:rsidRDefault="00E85261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25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034735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жовтня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605249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             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11/</w:t>
      </w:r>
      <w:r w:rsidR="002269EF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7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F31ED6E" w14:textId="295C5B64" w:rsidR="00034735" w:rsidRPr="004903E1" w:rsidRDefault="00034735" w:rsidP="00034735">
      <w:pPr>
        <w:pStyle w:val="ae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4903E1">
        <w:rPr>
          <w:b/>
          <w:color w:val="000000" w:themeColor="text1"/>
          <w:sz w:val="28"/>
          <w:szCs w:val="28"/>
          <w:lang w:val="uk-UA"/>
        </w:rPr>
        <w:t xml:space="preserve">Про утворення  </w:t>
      </w:r>
      <w:r w:rsidR="004903E1" w:rsidRPr="004903E1">
        <w:rPr>
          <w:b/>
          <w:color w:val="000000" w:themeColor="text1"/>
          <w:sz w:val="28"/>
          <w:szCs w:val="28"/>
          <w:lang w:val="uk-UA"/>
        </w:rPr>
        <w:t>координаційної</w:t>
      </w:r>
      <w:r w:rsidRPr="004903E1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4903E1" w:rsidRPr="004903E1">
        <w:rPr>
          <w:b/>
          <w:color w:val="000000" w:themeColor="text1"/>
          <w:sz w:val="28"/>
          <w:szCs w:val="28"/>
          <w:lang w:val="uk-UA"/>
        </w:rPr>
        <w:t>групи</w:t>
      </w:r>
      <w:r w:rsidRPr="004903E1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14:paraId="296E5BC5" w14:textId="157D0A5A" w:rsidR="00034735" w:rsidRPr="004903E1" w:rsidRDefault="004903E1" w:rsidP="00034735">
      <w:pPr>
        <w:pStyle w:val="ae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</w:t>
      </w:r>
      <w:r w:rsidRPr="004903E1">
        <w:rPr>
          <w:b/>
          <w:color w:val="000000" w:themeColor="text1"/>
          <w:sz w:val="28"/>
          <w:szCs w:val="28"/>
          <w:lang w:val="uk-UA"/>
        </w:rPr>
        <w:t xml:space="preserve"> питань </w:t>
      </w:r>
      <w:r w:rsidR="00034735" w:rsidRPr="004903E1">
        <w:rPr>
          <w:b/>
          <w:color w:val="000000" w:themeColor="text1"/>
          <w:sz w:val="28"/>
          <w:szCs w:val="28"/>
          <w:lang w:val="uk-UA"/>
        </w:rPr>
        <w:t xml:space="preserve"> визначення потреб населення </w:t>
      </w:r>
    </w:p>
    <w:p w14:paraId="1EC272A8" w14:textId="77777777" w:rsidR="004903E1" w:rsidRPr="004903E1" w:rsidRDefault="00034735" w:rsidP="004903E1">
      <w:pPr>
        <w:pStyle w:val="af"/>
        <w:rPr>
          <w:b/>
          <w:szCs w:val="28"/>
        </w:rPr>
      </w:pPr>
      <w:r w:rsidRPr="004903E1">
        <w:rPr>
          <w:b/>
          <w:color w:val="000000" w:themeColor="text1"/>
          <w:szCs w:val="28"/>
        </w:rPr>
        <w:t>у соціальних послугах</w:t>
      </w:r>
      <w:r w:rsidR="004903E1" w:rsidRPr="004903E1">
        <w:rPr>
          <w:b/>
          <w:color w:val="000000" w:themeColor="text1"/>
          <w:szCs w:val="28"/>
        </w:rPr>
        <w:t xml:space="preserve"> </w:t>
      </w:r>
      <w:r w:rsidR="004903E1" w:rsidRPr="004903E1">
        <w:rPr>
          <w:b/>
          <w:szCs w:val="28"/>
        </w:rPr>
        <w:t>під час дії на території України або</w:t>
      </w:r>
    </w:p>
    <w:p w14:paraId="24B5481C" w14:textId="77777777" w:rsidR="004903E1" w:rsidRDefault="004903E1" w:rsidP="004903E1">
      <w:pPr>
        <w:pStyle w:val="af"/>
        <w:rPr>
          <w:szCs w:val="28"/>
        </w:rPr>
      </w:pPr>
      <w:r w:rsidRPr="004903E1">
        <w:rPr>
          <w:b/>
          <w:szCs w:val="28"/>
        </w:rPr>
        <w:t>в окремій її місцевості надзвичайного або воєнного стану</w:t>
      </w:r>
    </w:p>
    <w:p w14:paraId="09C360FF" w14:textId="599C3309" w:rsidR="00034735" w:rsidRDefault="00034735" w:rsidP="00034735">
      <w:pPr>
        <w:pStyle w:val="ae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</w:p>
    <w:p w14:paraId="1524FA1B" w14:textId="77777777" w:rsidR="00034735" w:rsidRPr="002775A7" w:rsidRDefault="00034735" w:rsidP="0003473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469B8F56" w14:textId="443CF4B0" w:rsidR="00034735" w:rsidRPr="00CD45B2" w:rsidRDefault="00034735" w:rsidP="000347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 w:rsidRPr="002775A7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Керуючись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Pr="00CD45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34  </w:t>
      </w:r>
      <w:r w:rsidRPr="00CD45B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Україні</w:t>
      </w:r>
      <w:r w:rsidRPr="00CD45B2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CD45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«</w:t>
      </w:r>
      <w:r w:rsidRPr="00CD45B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Про соціальні послуги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»</w:t>
      </w:r>
      <w:r w:rsidRPr="00CD45B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, постанови Кабінету Міністрів України від 01.06.2020 № 587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«</w:t>
      </w:r>
      <w:r w:rsidRPr="00CD45B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Про організацію надання соціальних послуг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»</w:t>
      </w:r>
      <w:r w:rsidRPr="00CD45B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, на виконання </w:t>
      </w:r>
      <w:r w:rsidR="007906F0" w:rsidRPr="007906F0">
        <w:rPr>
          <w:rFonts w:ascii="Times New Roman" w:hAnsi="Times New Roman" w:cs="Times New Roman"/>
          <w:sz w:val="28"/>
          <w:szCs w:val="28"/>
        </w:rPr>
        <w:t>розділу V наказу Міністерства соціальної політики від 19.04.2023 № 130-Н  «Про затвердження Порядку визначення потреб населення адміністративно-територіальної одиниці/територіальної громади у соціальних послугах»</w:t>
      </w:r>
      <w:r w:rsidR="007906F0">
        <w:rPr>
          <w:rFonts w:ascii="Times New Roman" w:hAnsi="Times New Roman" w:cs="Times New Roman"/>
          <w:sz w:val="28"/>
          <w:szCs w:val="28"/>
        </w:rPr>
        <w:t xml:space="preserve"> </w:t>
      </w:r>
      <w:r w:rsidRPr="007906F0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та з метою забезпеченн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я розвитку на території громади системи надання соціальних послуг, виконавчий комітет сільської ради</w:t>
      </w:r>
    </w:p>
    <w:p w14:paraId="58D6B28D" w14:textId="77777777" w:rsidR="00034735" w:rsidRPr="002775A7" w:rsidRDefault="00034735" w:rsidP="0003473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622F4C2" w14:textId="505E3B5B" w:rsidR="00034735" w:rsidRPr="002775A7" w:rsidRDefault="00034735" w:rsidP="0003473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Cs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 w:bidi="uk-UA"/>
        </w:rPr>
        <w:t>ВИРІШИВ</w:t>
      </w:r>
      <w:r w:rsidRPr="002775A7">
        <w:rPr>
          <w:rFonts w:ascii="Times New Roman" w:eastAsiaTheme="minorHAnsi" w:hAnsi="Times New Roman" w:cs="Times New Roman"/>
          <w:bCs/>
          <w:sz w:val="28"/>
          <w:szCs w:val="28"/>
          <w:lang w:eastAsia="en-US" w:bidi="uk-UA"/>
        </w:rPr>
        <w:t>:</w:t>
      </w:r>
    </w:p>
    <w:p w14:paraId="56146AB3" w14:textId="77777777" w:rsidR="00034735" w:rsidRPr="002775A7" w:rsidRDefault="00034735" w:rsidP="0003473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</w:pPr>
    </w:p>
    <w:p w14:paraId="684E4604" w14:textId="5D4CF654" w:rsidR="00034735" w:rsidRPr="007906F0" w:rsidRDefault="00034735" w:rsidP="000871CF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7906F0">
        <w:rPr>
          <w:color w:val="000000" w:themeColor="text1"/>
          <w:sz w:val="28"/>
          <w:szCs w:val="28"/>
          <w:lang w:val="uk-UA"/>
        </w:rPr>
        <w:t xml:space="preserve"> Утворити координаційну групу</w:t>
      </w:r>
      <w:r w:rsidRPr="00B93204">
        <w:rPr>
          <w:color w:val="000000"/>
          <w:sz w:val="28"/>
          <w:szCs w:val="28"/>
          <w:lang w:val="uk-UA"/>
        </w:rPr>
        <w:t xml:space="preserve"> з </w:t>
      </w:r>
      <w:r w:rsidR="007906F0">
        <w:rPr>
          <w:color w:val="000000"/>
          <w:sz w:val="28"/>
          <w:szCs w:val="28"/>
          <w:lang w:val="uk-UA"/>
        </w:rPr>
        <w:t xml:space="preserve">питань </w:t>
      </w:r>
      <w:r w:rsidRPr="00B93204">
        <w:rPr>
          <w:color w:val="000000"/>
          <w:sz w:val="28"/>
          <w:szCs w:val="28"/>
          <w:lang w:val="uk-UA"/>
        </w:rPr>
        <w:t xml:space="preserve">визначення потреб населення </w:t>
      </w:r>
      <w:r>
        <w:rPr>
          <w:color w:val="000000"/>
          <w:sz w:val="28"/>
          <w:szCs w:val="28"/>
          <w:lang w:val="uk-UA"/>
        </w:rPr>
        <w:t>Вишнівської</w:t>
      </w:r>
      <w:r w:rsidRPr="00B9320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</w:t>
      </w:r>
      <w:r w:rsidRPr="00B93204">
        <w:rPr>
          <w:color w:val="000000"/>
          <w:sz w:val="28"/>
          <w:szCs w:val="28"/>
        </w:rPr>
        <w:t> </w:t>
      </w:r>
      <w:r w:rsidRPr="00B93204">
        <w:rPr>
          <w:color w:val="000000"/>
          <w:sz w:val="28"/>
          <w:szCs w:val="28"/>
          <w:lang w:val="uk-UA"/>
        </w:rPr>
        <w:t>територіальної громади у соціальних послугах</w:t>
      </w:r>
      <w:r w:rsidR="007906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906F0" w:rsidRPr="007906F0">
        <w:rPr>
          <w:sz w:val="28"/>
          <w:szCs w:val="28"/>
        </w:rPr>
        <w:t>під</w:t>
      </w:r>
      <w:proofErr w:type="spellEnd"/>
      <w:r w:rsidR="007906F0" w:rsidRPr="007906F0">
        <w:rPr>
          <w:sz w:val="28"/>
          <w:szCs w:val="28"/>
        </w:rPr>
        <w:t xml:space="preserve"> час </w:t>
      </w:r>
      <w:proofErr w:type="spellStart"/>
      <w:r w:rsidR="007906F0" w:rsidRPr="007906F0">
        <w:rPr>
          <w:sz w:val="28"/>
          <w:szCs w:val="28"/>
        </w:rPr>
        <w:t>дії</w:t>
      </w:r>
      <w:proofErr w:type="spellEnd"/>
      <w:r w:rsidR="007906F0" w:rsidRPr="007906F0">
        <w:rPr>
          <w:sz w:val="28"/>
          <w:szCs w:val="28"/>
        </w:rPr>
        <w:t xml:space="preserve"> на </w:t>
      </w:r>
      <w:proofErr w:type="spellStart"/>
      <w:r w:rsidR="007906F0" w:rsidRPr="007906F0">
        <w:rPr>
          <w:sz w:val="28"/>
          <w:szCs w:val="28"/>
        </w:rPr>
        <w:t>території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України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або</w:t>
      </w:r>
      <w:proofErr w:type="spellEnd"/>
      <w:r w:rsidR="007906F0" w:rsidRPr="007906F0">
        <w:rPr>
          <w:sz w:val="28"/>
          <w:szCs w:val="28"/>
        </w:rPr>
        <w:t xml:space="preserve"> в </w:t>
      </w:r>
      <w:proofErr w:type="spellStart"/>
      <w:r w:rsidR="007906F0" w:rsidRPr="007906F0">
        <w:rPr>
          <w:sz w:val="28"/>
          <w:szCs w:val="28"/>
        </w:rPr>
        <w:t>окремій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її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місцевості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надзвичайного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або</w:t>
      </w:r>
      <w:proofErr w:type="spellEnd"/>
      <w:r w:rsidR="007906F0" w:rsidRPr="007906F0">
        <w:rPr>
          <w:sz w:val="28"/>
          <w:szCs w:val="28"/>
        </w:rPr>
        <w:t xml:space="preserve"> </w:t>
      </w:r>
      <w:proofErr w:type="spellStart"/>
      <w:r w:rsidR="007906F0" w:rsidRPr="007906F0">
        <w:rPr>
          <w:sz w:val="28"/>
          <w:szCs w:val="28"/>
        </w:rPr>
        <w:t>воєнного</w:t>
      </w:r>
      <w:proofErr w:type="spellEnd"/>
      <w:r w:rsidR="007906F0" w:rsidRPr="007906F0">
        <w:rPr>
          <w:sz w:val="28"/>
          <w:szCs w:val="28"/>
        </w:rPr>
        <w:t xml:space="preserve"> стану (</w:t>
      </w:r>
      <w:proofErr w:type="spellStart"/>
      <w:r w:rsidR="007906F0" w:rsidRPr="007906F0">
        <w:rPr>
          <w:sz w:val="28"/>
          <w:szCs w:val="28"/>
        </w:rPr>
        <w:t>далі-координаційна</w:t>
      </w:r>
      <w:proofErr w:type="spellEnd"/>
      <w:r w:rsidR="007906F0" w:rsidRPr="007906F0">
        <w:rPr>
          <w:sz w:val="28"/>
          <w:szCs w:val="28"/>
        </w:rPr>
        <w:t xml:space="preserve">  </w:t>
      </w:r>
      <w:proofErr w:type="spellStart"/>
      <w:r w:rsidR="007906F0" w:rsidRPr="007906F0">
        <w:rPr>
          <w:sz w:val="28"/>
          <w:szCs w:val="28"/>
        </w:rPr>
        <w:t>група</w:t>
      </w:r>
      <w:proofErr w:type="spellEnd"/>
      <w:r w:rsidR="007906F0" w:rsidRPr="007906F0">
        <w:rPr>
          <w:sz w:val="28"/>
          <w:szCs w:val="28"/>
        </w:rPr>
        <w:t>)</w:t>
      </w:r>
      <w:r w:rsidRPr="007906F0">
        <w:rPr>
          <w:color w:val="000000" w:themeColor="text1"/>
          <w:sz w:val="28"/>
          <w:szCs w:val="28"/>
          <w:lang w:val="uk-UA"/>
        </w:rPr>
        <w:t xml:space="preserve">. </w:t>
      </w:r>
    </w:p>
    <w:p w14:paraId="1DE1045C" w14:textId="373DC924" w:rsidR="00034735" w:rsidRDefault="00034735" w:rsidP="000871CF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Pr="00B93204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7906F0">
        <w:rPr>
          <w:color w:val="000000" w:themeColor="text1"/>
          <w:sz w:val="28"/>
          <w:szCs w:val="28"/>
          <w:lang w:val="uk-UA"/>
        </w:rPr>
        <w:t xml:space="preserve">персональний склад координаційної групи </w:t>
      </w:r>
      <w:r w:rsidRPr="00B93204">
        <w:rPr>
          <w:color w:val="000000" w:themeColor="text1"/>
          <w:sz w:val="28"/>
          <w:szCs w:val="28"/>
          <w:lang w:val="uk-UA"/>
        </w:rPr>
        <w:t xml:space="preserve"> згідно з додатком</w:t>
      </w:r>
      <w:r>
        <w:rPr>
          <w:color w:val="000000" w:themeColor="text1"/>
          <w:sz w:val="28"/>
          <w:szCs w:val="28"/>
          <w:lang w:val="uk-UA"/>
        </w:rPr>
        <w:t xml:space="preserve"> 1.</w:t>
      </w:r>
    </w:p>
    <w:p w14:paraId="78686496" w14:textId="1D931806" w:rsidR="00034735" w:rsidRPr="00A03B67" w:rsidRDefault="00034735" w:rsidP="000871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="007906F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A03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Затвердити Положення про </w:t>
      </w:r>
      <w:r w:rsidR="00A03B67" w:rsidRPr="00A03B67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координаційну групу</w:t>
      </w:r>
      <w:r w:rsidR="00A03B67" w:rsidRPr="00A03B67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визначення потреб населення Вишнівської сільської територіальної громади у соціальних послугах </w:t>
      </w:r>
      <w:r w:rsidR="00A03B67" w:rsidRPr="00A03B67">
        <w:rPr>
          <w:rFonts w:ascii="Times New Roman" w:hAnsi="Times New Roman" w:cs="Times New Roman"/>
          <w:sz w:val="28"/>
          <w:szCs w:val="28"/>
        </w:rPr>
        <w:t xml:space="preserve">під час дії на території України або в окремій її місцевості надзвичайного або воєнного стану </w:t>
      </w:r>
      <w:r w:rsidRPr="00A03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="00A03B67" w:rsidRPr="00A03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гідно з додатком 2.</w:t>
      </w:r>
      <w:r w:rsidRPr="00A03B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747B229E" w14:textId="6FDA78C3" w:rsidR="00034735" w:rsidRPr="003A03BC" w:rsidRDefault="00A002E7" w:rsidP="000871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</w:t>
      </w:r>
      <w:r w:rsidR="0003473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034735" w:rsidRPr="003A03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першого </w:t>
      </w:r>
      <w:r w:rsidR="00034735" w:rsidRPr="003A03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заступни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</w:t>
      </w:r>
      <w:r w:rsidR="00034735" w:rsidRPr="003A03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сільського</w:t>
      </w:r>
      <w:r w:rsidR="00034735" w:rsidRPr="003A03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Галину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Федончук</w:t>
      </w:r>
      <w:proofErr w:type="spellEnd"/>
      <w:r w:rsidR="00034735" w:rsidRPr="003A03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32EBEBA7" w14:textId="77777777" w:rsidR="00034735" w:rsidRPr="002775A7" w:rsidRDefault="00034735" w:rsidP="00034735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9513ACC" w14:textId="77777777" w:rsidR="001A0EED" w:rsidRPr="001314D8" w:rsidRDefault="001A0EED" w:rsidP="00C45F0A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5DCD9B6" w14:textId="68A503A3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                    </w:t>
      </w:r>
      <w:r w:rsidR="00A002E7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527A0E28" w14:textId="2F0D6716" w:rsidR="00A002E7" w:rsidRDefault="00A00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Наталія Жарінова</w:t>
      </w:r>
    </w:p>
    <w:p w14:paraId="0CE0E7AE" w14:textId="77777777" w:rsidR="00A002E7" w:rsidRDefault="00A00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391DA5FB" w14:textId="77777777" w:rsidR="00A002E7" w:rsidRDefault="00A002E7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</w:p>
    <w:p w14:paraId="6553FF21" w14:textId="77777777" w:rsidR="00EA4553" w:rsidRDefault="00A002E7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A82F5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C1E3C3" w14:textId="77777777" w:rsidR="00EA4553" w:rsidRDefault="00EA4553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</w:p>
    <w:p w14:paraId="7D3DA3BA" w14:textId="77777777" w:rsidR="00EA4553" w:rsidRDefault="00EA4553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</w:p>
    <w:p w14:paraId="3E35E5C4" w14:textId="714B9FC8" w:rsidR="00815467" w:rsidRDefault="00A002E7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ED3B46F" w14:textId="77777777" w:rsidR="00815467" w:rsidRDefault="00815467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</w:p>
    <w:p w14:paraId="0AA2FCD4" w14:textId="77777777" w:rsidR="00EA26C3" w:rsidRDefault="00815467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</w:p>
    <w:p w14:paraId="6D2A7366" w14:textId="534F0387" w:rsidR="00A82F56" w:rsidRPr="00A82F56" w:rsidRDefault="00EA26C3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</w:t>
      </w:r>
      <w:r w:rsidR="00815467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82F56" w:rsidRPr="00A82F56">
        <w:rPr>
          <w:rFonts w:ascii="Times New Roman" w:hAnsi="Times New Roman" w:cs="Times New Roman"/>
          <w:bCs/>
          <w:sz w:val="24"/>
          <w:szCs w:val="24"/>
        </w:rPr>
        <w:t>Додаток 1</w:t>
      </w:r>
      <w:r w:rsidR="00A002E7" w:rsidRPr="00A82F5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AC01C12" w14:textId="49FDB074" w:rsidR="00A82F56" w:rsidRDefault="00A82F56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2269E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45F0A">
        <w:rPr>
          <w:rFonts w:ascii="Times New Roman" w:hAnsi="Times New Roman" w:cs="Times New Roman"/>
          <w:bCs/>
          <w:sz w:val="28"/>
          <w:szCs w:val="28"/>
        </w:rPr>
        <w:t>ЗАТВЕРДЖЕН</w:t>
      </w:r>
      <w:bookmarkStart w:id="0" w:name="_Hlk128646409"/>
      <w:bookmarkStart w:id="1" w:name="_Hlk128735143"/>
      <w:r>
        <w:rPr>
          <w:rFonts w:ascii="Times New Roman" w:hAnsi="Times New Roman" w:cs="Times New Roman"/>
          <w:bCs/>
          <w:sz w:val="28"/>
          <w:szCs w:val="28"/>
        </w:rPr>
        <w:t>О</w:t>
      </w:r>
    </w:p>
    <w:p w14:paraId="5E6BE0CF" w14:textId="4D622A4D" w:rsidR="00A002E7" w:rsidRPr="00A82F56" w:rsidRDefault="00A82F56" w:rsidP="00A82F56">
      <w:pPr>
        <w:spacing w:after="0" w:line="240" w:lineRule="auto"/>
        <w:ind w:left="4394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2269E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002E7"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рішення</w:t>
      </w:r>
      <w:bookmarkEnd w:id="0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A002E7"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виконавчого комітету</w:t>
      </w:r>
    </w:p>
    <w:p w14:paraId="6B9C3D03" w14:textId="5C0C1C05" w:rsidR="00A002E7" w:rsidRPr="00A002E7" w:rsidRDefault="00A002E7" w:rsidP="00A002E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Вишнівської сільської ради</w:t>
      </w:r>
    </w:p>
    <w:p w14:paraId="63DD97CB" w14:textId="1059146B" w:rsidR="00A002E7" w:rsidRPr="00A002E7" w:rsidRDefault="00A002E7" w:rsidP="00A002E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2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від </w:t>
      </w:r>
      <w:r w:rsidR="0022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A002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.10.2024 № </w:t>
      </w:r>
      <w:r w:rsidR="0022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11/7</w:t>
      </w:r>
    </w:p>
    <w:p w14:paraId="471542C1" w14:textId="77777777" w:rsidR="00A002E7" w:rsidRPr="00A002E7" w:rsidRDefault="00A002E7" w:rsidP="00A002E7">
      <w:pPr>
        <w:pStyle w:val="af"/>
        <w:jc w:val="center"/>
        <w:rPr>
          <w:b/>
          <w:spacing w:val="-1"/>
          <w:sz w:val="24"/>
        </w:rPr>
      </w:pPr>
      <w:bookmarkStart w:id="2" w:name="_Hlk128484851"/>
    </w:p>
    <w:bookmarkEnd w:id="2"/>
    <w:p w14:paraId="6B1B3F1F" w14:textId="77777777" w:rsidR="00C24F3F" w:rsidRDefault="00C24F3F" w:rsidP="00A002E7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15AEB132" w14:textId="4EFD6BBE" w:rsidR="00A002E7" w:rsidRPr="00C45F0A" w:rsidRDefault="00C45F0A" w:rsidP="00A002E7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5F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Персональний склад координаційної</w:t>
      </w:r>
      <w:r w:rsidR="00A002E7" w:rsidRPr="00C45F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групи </w:t>
      </w:r>
    </w:p>
    <w:p w14:paraId="7E9CEAFD" w14:textId="4AA7B362" w:rsidR="00A002E7" w:rsidRPr="00C45F0A" w:rsidRDefault="00A002E7" w:rsidP="00116A92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45F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 визначення потреб населення Вишнівської сільської територіальної громади у соціальних послугах</w:t>
      </w:r>
    </w:p>
    <w:p w14:paraId="21F74C1E" w14:textId="77777777" w:rsidR="00A002E7" w:rsidRPr="00C45F0A" w:rsidRDefault="00A002E7" w:rsidP="00A002E7">
      <w:pPr>
        <w:spacing w:after="0" w:line="259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64EFE36B" w14:textId="5D786661" w:rsidR="00A002E7" w:rsidRPr="00C24F3F" w:rsidRDefault="00E436BB" w:rsidP="00C24F3F">
      <w:pPr>
        <w:tabs>
          <w:tab w:val="left" w:pos="360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24F3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Голова </w:t>
      </w:r>
      <w:r w:rsidR="00C45F0A" w:rsidRPr="00C24F3F">
        <w:rPr>
          <w:rFonts w:ascii="Times New Roman" w:eastAsia="Calibri" w:hAnsi="Times New Roman" w:cs="Times New Roman"/>
          <w:sz w:val="28"/>
          <w:szCs w:val="28"/>
          <w:u w:val="single"/>
        </w:rPr>
        <w:t>координаційної групи</w:t>
      </w:r>
      <w:r w:rsidRPr="00C24F3F">
        <w:rPr>
          <w:rFonts w:ascii="Times New Roman" w:eastAsia="Calibri" w:hAnsi="Times New Roman" w:cs="Times New Roman"/>
          <w:sz w:val="28"/>
          <w:szCs w:val="28"/>
        </w:rPr>
        <w:tab/>
      </w:r>
      <w:r w:rsidR="00A002E7" w:rsidRPr="00C24F3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</w:t>
      </w:r>
    </w:p>
    <w:p w14:paraId="5174ECB5" w14:textId="77777777" w:rsidR="00E436BB" w:rsidRPr="00C24F3F" w:rsidRDefault="00E436BB" w:rsidP="00C24F3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f1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533"/>
      </w:tblGrid>
      <w:tr w:rsidR="00A002E7" w:rsidRPr="00C24F3F" w14:paraId="5CBE76D9" w14:textId="77777777" w:rsidTr="00C24F3F">
        <w:tc>
          <w:tcPr>
            <w:tcW w:w="4395" w:type="dxa"/>
          </w:tcPr>
          <w:p w14:paraId="114863B3" w14:textId="7CD89075" w:rsidR="00A002E7" w:rsidRPr="00C24F3F" w:rsidRDefault="00A002E7" w:rsidP="00EA4553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Федончук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Галина Карпівна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61F47548" w14:textId="008B7398" w:rsidR="00E436BB" w:rsidRPr="00C24F3F" w:rsidRDefault="00E436BB" w:rsidP="00EA4553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Заступник </w:t>
            </w:r>
            <w:r w:rsidR="00C45F0A"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координаційної</w:t>
            </w:r>
            <w:r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 групи</w:t>
            </w:r>
          </w:p>
        </w:tc>
        <w:tc>
          <w:tcPr>
            <w:tcW w:w="5533" w:type="dxa"/>
          </w:tcPr>
          <w:p w14:paraId="01D24C41" w14:textId="63ABCD53" w:rsidR="00E436BB" w:rsidRPr="00C24F3F" w:rsidRDefault="00E436BB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</w:t>
            </w:r>
            <w:r w:rsidR="00A002E7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ерший заступник сільського голови, </w:t>
            </w:r>
          </w:p>
          <w:p w14:paraId="26EC928A" w14:textId="04CEACA0" w:rsidR="00A002E7" w:rsidRPr="00C24F3F" w:rsidRDefault="00A002E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2E7" w:rsidRPr="00C24F3F" w14:paraId="38D41E68" w14:textId="77777777" w:rsidTr="00C24F3F">
        <w:tc>
          <w:tcPr>
            <w:tcW w:w="4395" w:type="dxa"/>
          </w:tcPr>
          <w:p w14:paraId="52C4E5F2" w14:textId="56F35C0D" w:rsidR="00A002E7" w:rsidRPr="00C24F3F" w:rsidRDefault="00A002E7" w:rsidP="00EA4553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Суха Наталія Федорівна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11E23DF3" w14:textId="2BC8F998" w:rsidR="00E436BB" w:rsidRPr="00C24F3F" w:rsidRDefault="00E436BB" w:rsidP="00EA4553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C45F0A"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координаційної групи</w:t>
            </w:r>
          </w:p>
        </w:tc>
        <w:tc>
          <w:tcPr>
            <w:tcW w:w="5533" w:type="dxa"/>
          </w:tcPr>
          <w:p w14:paraId="2F6F41F6" w14:textId="2CFAA365" w:rsidR="00A002E7" w:rsidRPr="00C24F3F" w:rsidRDefault="00A002E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гуманітарного </w:t>
            </w:r>
            <w:r w:rsidR="00E436BB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відділу,</w:t>
            </w: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5A423410" w14:textId="79C58B2D" w:rsidR="00A002E7" w:rsidRPr="00C24F3F" w:rsidRDefault="00A002E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2E7" w:rsidRPr="00C24F3F" w14:paraId="0042B736" w14:textId="77777777" w:rsidTr="00C24F3F">
        <w:tc>
          <w:tcPr>
            <w:tcW w:w="4395" w:type="dxa"/>
          </w:tcPr>
          <w:p w14:paraId="3C9F5865" w14:textId="35C6DE1D" w:rsidR="00A002E7" w:rsidRPr="00C24F3F" w:rsidRDefault="00E436BB" w:rsidP="00EA4553">
            <w:pPr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Жарінова Наталія Василівна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533" w:type="dxa"/>
          </w:tcPr>
          <w:p w14:paraId="7DF377AA" w14:textId="71577B60" w:rsidR="00A002E7" w:rsidRPr="00C24F3F" w:rsidRDefault="00E436BB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головний спеціаліст гуманітарного відділу</w:t>
            </w:r>
          </w:p>
        </w:tc>
      </w:tr>
      <w:tr w:rsidR="00A002E7" w:rsidRPr="00C24F3F" w14:paraId="74D4D2BE" w14:textId="77777777" w:rsidTr="00C24F3F">
        <w:tc>
          <w:tcPr>
            <w:tcW w:w="4395" w:type="dxa"/>
            <w:vAlign w:val="center"/>
          </w:tcPr>
          <w:p w14:paraId="1A7B4F3D" w14:textId="56BBDFB7" w:rsidR="00A002E7" w:rsidRPr="00C24F3F" w:rsidRDefault="00A002E7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Члени </w:t>
            </w:r>
            <w:r w:rsidR="00C45F0A"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координаційної </w:t>
            </w:r>
            <w:r w:rsidR="00E436BB" w:rsidRPr="00C24F3F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 xml:space="preserve"> групи</w:t>
            </w:r>
          </w:p>
        </w:tc>
        <w:tc>
          <w:tcPr>
            <w:tcW w:w="5533" w:type="dxa"/>
          </w:tcPr>
          <w:p w14:paraId="079B889E" w14:textId="77777777" w:rsidR="00A002E7" w:rsidRPr="00C24F3F" w:rsidRDefault="00A002E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002E7" w:rsidRPr="00C24F3F" w14:paraId="7E6B26A7" w14:textId="77777777" w:rsidTr="00C24F3F">
        <w:tc>
          <w:tcPr>
            <w:tcW w:w="4395" w:type="dxa"/>
          </w:tcPr>
          <w:p w14:paraId="09EE1E3B" w14:textId="2B5D8636" w:rsidR="00A002E7" w:rsidRPr="00C24F3F" w:rsidRDefault="00E436BB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Ряпич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Іванівна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23260C28" w14:textId="77777777" w:rsidR="00C24F3F" w:rsidRDefault="00C24F3F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23A5C203" w14:textId="3950D708" w:rsidR="00361E1C" w:rsidRPr="00C24F3F" w:rsidRDefault="00C67109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Богуш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Ірина Валентинівна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533" w:type="dxa"/>
          </w:tcPr>
          <w:p w14:paraId="3DF0414C" w14:textId="77777777" w:rsidR="00A002E7" w:rsidRPr="00C24F3F" w:rsidRDefault="00E436BB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завідувач сектору «Служба у справах дітей»,</w:t>
            </w:r>
          </w:p>
          <w:p w14:paraId="2910A3DD" w14:textId="350001A8" w:rsidR="00361E1C" w:rsidRPr="00220D69" w:rsidRDefault="00C67109" w:rsidP="00EA455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 w:rsidR="00361E1C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1E1C" w:rsidRPr="00C24F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 з питань юридичного забезпечення ради</w:t>
            </w:r>
            <w:r w:rsidR="005C74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361E1C" w:rsidRPr="00C24F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діловодства та проектно-інвестиційної діяльності;</w:t>
            </w:r>
          </w:p>
        </w:tc>
      </w:tr>
      <w:tr w:rsidR="00A002E7" w:rsidRPr="00C24F3F" w14:paraId="6DC9A041" w14:textId="77777777" w:rsidTr="00C24F3F">
        <w:tc>
          <w:tcPr>
            <w:tcW w:w="4395" w:type="dxa"/>
          </w:tcPr>
          <w:p w14:paraId="6FB6DEE8" w14:textId="2A3C1F7C" w:rsidR="00A002E7" w:rsidRPr="00C24F3F" w:rsidRDefault="00E436BB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Колчева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Юлія Анатоліївна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533" w:type="dxa"/>
          </w:tcPr>
          <w:p w14:paraId="55926F6E" w14:textId="1F03662B" w:rsidR="00A002E7" w:rsidRPr="00C24F3F" w:rsidRDefault="00E436BB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в.о. директора КУ «Центр надання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соціаль</w:t>
            </w:r>
            <w:proofErr w:type="spellEnd"/>
            <w:r w:rsidR="00EA45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них послуг» Вишнівської сільської ради</w:t>
            </w:r>
            <w:r w:rsidR="00111C45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</w:tc>
      </w:tr>
      <w:tr w:rsidR="00A002E7" w:rsidRPr="00C24F3F" w14:paraId="4BF8F890" w14:textId="77777777" w:rsidTr="00C24F3F">
        <w:tc>
          <w:tcPr>
            <w:tcW w:w="4395" w:type="dxa"/>
          </w:tcPr>
          <w:p w14:paraId="2FA1AF8D" w14:textId="4D66DEBD" w:rsidR="00111C45" w:rsidRPr="00C24F3F" w:rsidRDefault="00111C45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Томчук</w:t>
            </w:r>
            <w:proofErr w:type="spellEnd"/>
            <w:r w:rsidR="00E436BB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Тетяна Іванівна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</w:t>
            </w:r>
          </w:p>
          <w:p w14:paraId="4E91B9C1" w14:textId="77777777" w:rsidR="00537E70" w:rsidRPr="00C24F3F" w:rsidRDefault="00537E70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6B15E0E3" w14:textId="09F198F3" w:rsidR="00111C45" w:rsidRPr="00C24F3F" w:rsidRDefault="00111C45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Крецу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Іванна Миколаївни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533" w:type="dxa"/>
          </w:tcPr>
          <w:p w14:paraId="77E21241" w14:textId="77777777" w:rsidR="00A002E7" w:rsidRPr="00C24F3F" w:rsidRDefault="00E436BB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«Центр надання адміністративних послуг»</w:t>
            </w:r>
            <w:r w:rsidR="00111C45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4161474C" w14:textId="46D6A9D4" w:rsidR="00111C45" w:rsidRPr="00C24F3F" w:rsidRDefault="00111C45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фахівець із соціальної роботи КУ «Центр надання соціальних послуг» Вишнівської сільської ради,</w:t>
            </w:r>
          </w:p>
        </w:tc>
      </w:tr>
      <w:tr w:rsidR="00A002E7" w:rsidRPr="00C24F3F" w14:paraId="003AD2DD" w14:textId="77777777" w:rsidTr="00C24F3F">
        <w:trPr>
          <w:trHeight w:val="2951"/>
        </w:trPr>
        <w:tc>
          <w:tcPr>
            <w:tcW w:w="4395" w:type="dxa"/>
          </w:tcPr>
          <w:p w14:paraId="7FE26B8D" w14:textId="6D53144C" w:rsidR="00361E1C" w:rsidRPr="00C24F3F" w:rsidRDefault="00116A92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Бур’ян Андрій Григорович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61A16A16" w14:textId="2526BCDF" w:rsidR="00111C45" w:rsidRPr="00C24F3F" w:rsidRDefault="00A82F56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Васейко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Тетяна Володимирівна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2E2F690F" w14:textId="77777777" w:rsidR="00A82F56" w:rsidRPr="00C24F3F" w:rsidRDefault="00A82F56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17CB4BF4" w14:textId="5F9D8023" w:rsidR="00A82F56" w:rsidRPr="00C24F3F" w:rsidRDefault="00A82F56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Вітрук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Юрій Іванович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696E30CD" w14:textId="77777777" w:rsidR="00C24F3F" w:rsidRDefault="00C24F3F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3FD6B8EC" w14:textId="044BC26B" w:rsidR="00537E70" w:rsidRPr="00C24F3F" w:rsidRDefault="00A82F56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Гнатюк Василь Володимирович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3C4F86E8" w14:textId="77777777" w:rsidR="00A82F56" w:rsidRPr="00C24F3F" w:rsidRDefault="00A82F56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54A3A177" w14:textId="47648387" w:rsidR="00C24F3F" w:rsidRPr="00C24F3F" w:rsidRDefault="00C24F3F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Мандрика Любов Павлівна -</w:t>
            </w:r>
          </w:p>
          <w:p w14:paraId="62815BFF" w14:textId="77777777" w:rsidR="00C24F3F" w:rsidRPr="00C24F3F" w:rsidRDefault="00C24F3F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4BE969E2" w14:textId="541F654F" w:rsidR="00D07A57" w:rsidRPr="00C24F3F" w:rsidRDefault="00D07A57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Сахарук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Наталія Миколаївна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 </w:t>
            </w:r>
          </w:p>
          <w:p w14:paraId="430244AB" w14:textId="77777777" w:rsidR="00C24F3F" w:rsidRPr="00C24F3F" w:rsidRDefault="00C24F3F" w:rsidP="00EA455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50AF789F" w14:textId="3608936C" w:rsidR="00A82F56" w:rsidRPr="00C24F3F" w:rsidRDefault="00D07A57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Самолюк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Іван Андрійович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-</w:t>
            </w:r>
          </w:p>
          <w:p w14:paraId="642ABA8E" w14:textId="77777777" w:rsidR="00C24F3F" w:rsidRPr="00C24F3F" w:rsidRDefault="00C24F3F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64A6A87F" w14:textId="0B01271C" w:rsidR="00C24F3F" w:rsidRPr="00C24F3F" w:rsidRDefault="00C24F3F" w:rsidP="00EA4553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Ягодинець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Андрій Петрович -</w:t>
            </w:r>
          </w:p>
          <w:p w14:paraId="5341BDF7" w14:textId="77777777" w:rsidR="00A82F56" w:rsidRPr="00C24F3F" w:rsidRDefault="00A82F56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30C4F195" w14:textId="77777777" w:rsidR="00C24F3F" w:rsidRPr="00C24F3F" w:rsidRDefault="00C24F3F" w:rsidP="00EA4553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69F5E884" w14:textId="77777777" w:rsidR="00C24F3F" w:rsidRPr="00C24F3F" w:rsidRDefault="00C24F3F" w:rsidP="00EA455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296490DE" w14:textId="38AFE285" w:rsidR="00537E70" w:rsidRPr="00C24F3F" w:rsidRDefault="00537E70" w:rsidP="00EA455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33" w:type="dxa"/>
          </w:tcPr>
          <w:p w14:paraId="59E77007" w14:textId="20151664" w:rsidR="00111C45" w:rsidRPr="00C24F3F" w:rsidRDefault="00537E70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поліцейський офіцер громади (за згодою),</w:t>
            </w:r>
          </w:p>
          <w:p w14:paraId="16AB65E6" w14:textId="7E0D0A39" w:rsidR="00361E1C" w:rsidRPr="00C24F3F" w:rsidRDefault="00A82F56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Хворостівського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40EDF809" w14:textId="554E2484" w:rsidR="00A82F56" w:rsidRPr="00C24F3F" w:rsidRDefault="00A82F56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Ладинського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33CDDFD9" w14:textId="31DBC6E1" w:rsidR="00A82F56" w:rsidRPr="00C24F3F" w:rsidRDefault="00A82F56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Радехівського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65E1508F" w14:textId="7C52686E" w:rsidR="00C24F3F" w:rsidRPr="00C24F3F" w:rsidRDefault="00C24F3F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Штунського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округу,</w:t>
            </w:r>
          </w:p>
          <w:p w14:paraId="5234D9A3" w14:textId="24763523" w:rsidR="00361E1C" w:rsidRPr="00C24F3F" w:rsidRDefault="00D07A5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Машівського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31101A79" w14:textId="4F2C226E" w:rsidR="00D07A57" w:rsidRPr="00C24F3F" w:rsidRDefault="00D07A57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Римаявчського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округу</w:t>
            </w:r>
            <w:r w:rsidR="00C24F3F"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</w:p>
          <w:p w14:paraId="48F8368F" w14:textId="2FFB342F" w:rsidR="00C24F3F" w:rsidRPr="00C24F3F" w:rsidRDefault="00C24F3F" w:rsidP="00EA455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Олеського</w:t>
            </w:r>
            <w:proofErr w:type="spellEnd"/>
            <w:r w:rsidRPr="00C24F3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старостинського округу</w:t>
            </w:r>
          </w:p>
          <w:p w14:paraId="26DC04AD" w14:textId="6454EB38" w:rsidR="00C24F3F" w:rsidRDefault="00C24F3F" w:rsidP="00EA45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6935E2B2" w14:textId="77777777" w:rsidR="00220D69" w:rsidRDefault="00220D69" w:rsidP="00EA45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5C92EC77" w14:textId="77777777" w:rsidR="00220D69" w:rsidRPr="00C24F3F" w:rsidRDefault="00220D69" w:rsidP="00EA45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12166559" w14:textId="4E91E11B" w:rsidR="00537E70" w:rsidRPr="00C24F3F" w:rsidRDefault="00537E70" w:rsidP="00EA45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38F4D6D1" w14:textId="77777777" w:rsidR="00EA4553" w:rsidRDefault="00414506" w:rsidP="00EA4553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</w:p>
    <w:p w14:paraId="08308567" w14:textId="77777777" w:rsidR="002269EF" w:rsidRDefault="00EA4553" w:rsidP="00EA26C3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</w:t>
      </w:r>
    </w:p>
    <w:p w14:paraId="4D1C25E8" w14:textId="77777777" w:rsidR="002269EF" w:rsidRDefault="002269EF" w:rsidP="00EA26C3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</w:t>
      </w:r>
    </w:p>
    <w:p w14:paraId="5077E888" w14:textId="31C038EF" w:rsidR="00EA4553" w:rsidRPr="00C24F3F" w:rsidRDefault="002269EF" w:rsidP="00EA26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                                                        </w:t>
      </w:r>
      <w:r w:rsidR="00EA4553">
        <w:rPr>
          <w:szCs w:val="28"/>
        </w:rPr>
        <w:t xml:space="preserve"> </w:t>
      </w:r>
      <w:r w:rsidR="00414506">
        <w:rPr>
          <w:szCs w:val="28"/>
        </w:rPr>
        <w:t xml:space="preserve">    </w:t>
      </w:r>
      <w:r w:rsidR="00EA4553" w:rsidRPr="00C24F3F">
        <w:rPr>
          <w:rFonts w:ascii="Times New Roman" w:eastAsia="Calibri" w:hAnsi="Times New Roman" w:cs="Times New Roman"/>
          <w:sz w:val="24"/>
          <w:szCs w:val="24"/>
        </w:rPr>
        <w:t>Додаток 2</w:t>
      </w:r>
    </w:p>
    <w:p w14:paraId="59C272FF" w14:textId="0D811A1C" w:rsidR="00EA4553" w:rsidRDefault="00EA4553" w:rsidP="00EA26C3">
      <w:pPr>
        <w:pStyle w:val="af"/>
        <w:jc w:val="center"/>
        <w:rPr>
          <w:szCs w:val="28"/>
        </w:rPr>
      </w:pPr>
      <w:r w:rsidRPr="00C24F3F">
        <w:rPr>
          <w:rFonts w:eastAsia="Calibri"/>
          <w:szCs w:val="28"/>
        </w:rPr>
        <w:t xml:space="preserve">        </w:t>
      </w:r>
      <w:r>
        <w:rPr>
          <w:rFonts w:eastAsia="Calibri"/>
          <w:szCs w:val="28"/>
        </w:rPr>
        <w:t xml:space="preserve">                                                           ЗАТВЕРДЖЕНО</w:t>
      </w:r>
      <w:r w:rsidR="00414506">
        <w:rPr>
          <w:szCs w:val="28"/>
        </w:rPr>
        <w:t xml:space="preserve">  </w:t>
      </w:r>
    </w:p>
    <w:p w14:paraId="2801E3DF" w14:textId="2EBDA259" w:rsidR="00B50140" w:rsidRPr="00414506" w:rsidRDefault="00414506" w:rsidP="00EA26C3">
      <w:pPr>
        <w:pStyle w:val="af"/>
        <w:jc w:val="center"/>
        <w:rPr>
          <w:sz w:val="24"/>
        </w:rPr>
      </w:pPr>
      <w:r>
        <w:rPr>
          <w:szCs w:val="28"/>
        </w:rPr>
        <w:t xml:space="preserve"> </w:t>
      </w:r>
      <w:r w:rsidR="00EA4553">
        <w:rPr>
          <w:szCs w:val="28"/>
        </w:rPr>
        <w:t xml:space="preserve">                                                                             </w:t>
      </w:r>
      <w:r>
        <w:rPr>
          <w:szCs w:val="28"/>
        </w:rPr>
        <w:t xml:space="preserve">  </w:t>
      </w:r>
      <w:r w:rsidR="002269EF">
        <w:rPr>
          <w:szCs w:val="28"/>
        </w:rPr>
        <w:t xml:space="preserve">      </w:t>
      </w:r>
      <w:r w:rsidRPr="00414506">
        <w:rPr>
          <w:sz w:val="24"/>
        </w:rPr>
        <w:t>рішенням   виконавчого комітету</w:t>
      </w:r>
    </w:p>
    <w:p w14:paraId="03674479" w14:textId="057952D7" w:rsidR="00B50140" w:rsidRPr="00414506" w:rsidRDefault="00414506" w:rsidP="00EA26C3">
      <w:pPr>
        <w:pStyle w:val="af"/>
        <w:jc w:val="center"/>
        <w:rPr>
          <w:sz w:val="24"/>
        </w:rPr>
      </w:pPr>
      <w:r>
        <w:rPr>
          <w:szCs w:val="28"/>
        </w:rPr>
        <w:t xml:space="preserve">                                                                       </w:t>
      </w:r>
      <w:r w:rsidR="002269EF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414506">
        <w:rPr>
          <w:sz w:val="24"/>
        </w:rPr>
        <w:t>Вишнівської сільської ради</w:t>
      </w:r>
    </w:p>
    <w:p w14:paraId="763ABF6A" w14:textId="39CE4C7C" w:rsidR="00414506" w:rsidRPr="00414506" w:rsidRDefault="00414506" w:rsidP="00EA26C3">
      <w:pPr>
        <w:pStyle w:val="af"/>
        <w:jc w:val="center"/>
        <w:rPr>
          <w:sz w:val="24"/>
        </w:rPr>
      </w:pPr>
      <w:r w:rsidRPr="00414506">
        <w:rPr>
          <w:sz w:val="24"/>
        </w:rPr>
        <w:t xml:space="preserve">                                  </w:t>
      </w:r>
      <w:r>
        <w:rPr>
          <w:sz w:val="24"/>
        </w:rPr>
        <w:t xml:space="preserve">                </w:t>
      </w:r>
      <w:r w:rsidR="00C67109">
        <w:rPr>
          <w:sz w:val="24"/>
        </w:rPr>
        <w:t xml:space="preserve">                 </w:t>
      </w:r>
      <w:r w:rsidR="00EA4553">
        <w:rPr>
          <w:sz w:val="24"/>
        </w:rPr>
        <w:t xml:space="preserve">     </w:t>
      </w:r>
      <w:r w:rsidR="00C67109">
        <w:rPr>
          <w:sz w:val="24"/>
        </w:rPr>
        <w:t xml:space="preserve"> </w:t>
      </w:r>
      <w:r>
        <w:rPr>
          <w:sz w:val="24"/>
        </w:rPr>
        <w:t xml:space="preserve"> </w:t>
      </w:r>
      <w:r w:rsidRPr="00414506">
        <w:rPr>
          <w:sz w:val="24"/>
        </w:rPr>
        <w:t xml:space="preserve"> </w:t>
      </w:r>
      <w:r w:rsidR="002269EF">
        <w:rPr>
          <w:sz w:val="24"/>
        </w:rPr>
        <w:t xml:space="preserve">    </w:t>
      </w:r>
      <w:r w:rsidRPr="00414506">
        <w:rPr>
          <w:sz w:val="24"/>
        </w:rPr>
        <w:t xml:space="preserve"> від </w:t>
      </w:r>
      <w:r w:rsidR="00C67109">
        <w:rPr>
          <w:sz w:val="24"/>
        </w:rPr>
        <w:t>25.10.2024</w:t>
      </w:r>
      <w:r>
        <w:rPr>
          <w:sz w:val="24"/>
        </w:rPr>
        <w:t xml:space="preserve">  №</w:t>
      </w:r>
      <w:r w:rsidR="00220D69">
        <w:rPr>
          <w:sz w:val="24"/>
        </w:rPr>
        <w:t>11/</w:t>
      </w:r>
      <w:r w:rsidR="002269EF">
        <w:rPr>
          <w:sz w:val="24"/>
        </w:rPr>
        <w:t>7</w:t>
      </w:r>
    </w:p>
    <w:p w14:paraId="71C28F62" w14:textId="77777777" w:rsidR="00414506" w:rsidRDefault="00414506" w:rsidP="00EA26C3">
      <w:pPr>
        <w:pStyle w:val="af"/>
        <w:jc w:val="center"/>
        <w:rPr>
          <w:szCs w:val="28"/>
        </w:rPr>
      </w:pPr>
    </w:p>
    <w:p w14:paraId="2D10CF34" w14:textId="46CE41E4" w:rsidR="00C45F0A" w:rsidRPr="008431DC" w:rsidRDefault="00C45F0A" w:rsidP="00EA26C3">
      <w:pPr>
        <w:pStyle w:val="af"/>
        <w:jc w:val="center"/>
        <w:rPr>
          <w:szCs w:val="28"/>
        </w:rPr>
      </w:pPr>
      <w:r w:rsidRPr="008431DC">
        <w:rPr>
          <w:szCs w:val="28"/>
        </w:rPr>
        <w:t>ПОЛОЖЕННЯ</w:t>
      </w:r>
    </w:p>
    <w:p w14:paraId="78E9B7E2" w14:textId="77777777" w:rsidR="00C45F0A" w:rsidRDefault="00C45F0A" w:rsidP="00EA26C3">
      <w:pPr>
        <w:pStyle w:val="af"/>
        <w:jc w:val="center"/>
        <w:rPr>
          <w:szCs w:val="28"/>
        </w:rPr>
      </w:pPr>
      <w:r w:rsidRPr="008431DC">
        <w:rPr>
          <w:szCs w:val="28"/>
        </w:rPr>
        <w:t xml:space="preserve">про </w:t>
      </w:r>
      <w:r>
        <w:rPr>
          <w:szCs w:val="28"/>
        </w:rPr>
        <w:t>координаційну групу  з питань визначення потреб населення у соціальних</w:t>
      </w:r>
    </w:p>
    <w:p w14:paraId="39404992" w14:textId="77777777" w:rsidR="00C45F0A" w:rsidRDefault="00C45F0A" w:rsidP="00EA26C3">
      <w:pPr>
        <w:pStyle w:val="af"/>
        <w:ind w:firstLine="540"/>
        <w:jc w:val="center"/>
        <w:rPr>
          <w:szCs w:val="28"/>
        </w:rPr>
      </w:pPr>
      <w:r>
        <w:rPr>
          <w:szCs w:val="28"/>
        </w:rPr>
        <w:t>послугах під час дії на території України або в окремій її місцевості</w:t>
      </w:r>
    </w:p>
    <w:p w14:paraId="7253323D" w14:textId="77777777" w:rsidR="00C45F0A" w:rsidRDefault="00C45F0A" w:rsidP="00EA26C3">
      <w:pPr>
        <w:pStyle w:val="af"/>
        <w:ind w:firstLine="540"/>
        <w:jc w:val="center"/>
        <w:rPr>
          <w:szCs w:val="28"/>
        </w:rPr>
      </w:pPr>
      <w:r>
        <w:rPr>
          <w:szCs w:val="28"/>
        </w:rPr>
        <w:t>надзвичайного або воєнного стану</w:t>
      </w:r>
    </w:p>
    <w:p w14:paraId="7CBB43F2" w14:textId="77777777" w:rsidR="00C45F0A" w:rsidRDefault="00C45F0A" w:rsidP="00EA26C3">
      <w:pPr>
        <w:pStyle w:val="af"/>
        <w:ind w:hanging="360"/>
        <w:jc w:val="center"/>
        <w:rPr>
          <w:szCs w:val="28"/>
        </w:rPr>
      </w:pPr>
    </w:p>
    <w:p w14:paraId="7378A229" w14:textId="77777777" w:rsidR="00203177" w:rsidRDefault="00C45F0A" w:rsidP="00EA26C3">
      <w:pPr>
        <w:pStyle w:val="af"/>
        <w:jc w:val="both"/>
        <w:rPr>
          <w:szCs w:val="28"/>
        </w:rPr>
      </w:pPr>
      <w:r>
        <w:rPr>
          <w:szCs w:val="28"/>
        </w:rPr>
        <w:t>1.</w:t>
      </w:r>
      <w:r w:rsidR="00203177">
        <w:rPr>
          <w:szCs w:val="28"/>
        </w:rPr>
        <w:t xml:space="preserve"> </w:t>
      </w:r>
      <w:r>
        <w:rPr>
          <w:szCs w:val="28"/>
        </w:rPr>
        <w:t>Координаційна група є тимчасовим консультативно-дорадчим органом територіальної громади, утвореним з метою координації визначення потреб населення у соціальних послугах під час дії на території України або в окремій її місцевості надзвичайного або воєнного стану.</w:t>
      </w:r>
    </w:p>
    <w:p w14:paraId="75E73E2A" w14:textId="08D521A6" w:rsidR="00C45F0A" w:rsidRDefault="00C45F0A" w:rsidP="00EA26C3">
      <w:pPr>
        <w:pStyle w:val="af"/>
        <w:jc w:val="both"/>
        <w:rPr>
          <w:szCs w:val="28"/>
        </w:rPr>
      </w:pPr>
      <w:r>
        <w:rPr>
          <w:szCs w:val="28"/>
        </w:rPr>
        <w:t>2. Координаційна група у своїй діяльності керується Конституцією України, законами України, а також указами Президента України, постановами Верховної Ради України, прийнятими відповідно до Конституції та законів України, актами Кабінету Міністрів України та цим Положенням.</w:t>
      </w:r>
    </w:p>
    <w:p w14:paraId="4348BF1A" w14:textId="6DB0ACEF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3. Основними завданнями координаційної групи є:</w:t>
      </w:r>
    </w:p>
    <w:p w14:paraId="58D82D5F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координація діяльності надавачів соціальних послуг комунального та недержавного сектору, волонтерів, які залучені до надання соціальних послуг;</w:t>
      </w:r>
    </w:p>
    <w:p w14:paraId="7851890C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розгляд результатів визначення потреб населення у соціальних послугах під час дії надзвичайного або воєнного стану;</w:t>
      </w:r>
    </w:p>
    <w:p w14:paraId="6B039502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визначення заходів для організації надання необхідних соціальних послуг, у тому числі тих, які можуть надаватися екстрено (</w:t>
      </w:r>
      <w:proofErr w:type="spellStart"/>
      <w:r>
        <w:rPr>
          <w:szCs w:val="28"/>
        </w:rPr>
        <w:t>кризово</w:t>
      </w:r>
      <w:proofErr w:type="spellEnd"/>
      <w:r>
        <w:rPr>
          <w:szCs w:val="28"/>
        </w:rPr>
        <w:t>);</w:t>
      </w:r>
    </w:p>
    <w:p w14:paraId="03784D1D" w14:textId="1A32DD5E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вчасне та оперативне реагування на зміни в тенденціях міграції населення, </w:t>
      </w:r>
      <w:r w:rsidR="00203177">
        <w:rPr>
          <w:szCs w:val="28"/>
        </w:rPr>
        <w:t>-</w:t>
      </w:r>
      <w:r>
        <w:rPr>
          <w:szCs w:val="28"/>
        </w:rPr>
        <w:t>спроможності надавачів соціальних послуг у забезпеченні надання соціальних послуг;</w:t>
      </w:r>
    </w:p>
    <w:p w14:paraId="39330DDA" w14:textId="77777777" w:rsidR="00C45F0A" w:rsidRDefault="00C45F0A" w:rsidP="00EA26C3">
      <w:pPr>
        <w:pStyle w:val="af"/>
        <w:tabs>
          <w:tab w:val="left" w:pos="720"/>
        </w:tabs>
        <w:ind w:hanging="360"/>
        <w:jc w:val="both"/>
        <w:rPr>
          <w:szCs w:val="28"/>
        </w:rPr>
      </w:pPr>
      <w:r>
        <w:rPr>
          <w:szCs w:val="28"/>
        </w:rPr>
        <w:t xml:space="preserve">     - розв’язання існуючих соціальних проблем, пов’язаним із надзвичайним або воєнним станом, з якими звертаються вразливі групи населення, в тому числі через залучення інших суб’єктів, які працюють у територіальній громаді, на рівні району, області.</w:t>
      </w:r>
    </w:p>
    <w:p w14:paraId="76A74680" w14:textId="4F4081E4" w:rsidR="00C45F0A" w:rsidRDefault="00C45F0A" w:rsidP="00EA26C3">
      <w:pPr>
        <w:pStyle w:val="af"/>
        <w:tabs>
          <w:tab w:val="left" w:pos="540"/>
          <w:tab w:val="left" w:pos="720"/>
        </w:tabs>
        <w:ind w:hanging="360"/>
        <w:jc w:val="both"/>
        <w:rPr>
          <w:szCs w:val="28"/>
        </w:rPr>
      </w:pPr>
      <w:r>
        <w:rPr>
          <w:szCs w:val="28"/>
        </w:rPr>
        <w:t xml:space="preserve">      4. Координаційна група відповідно до покладених на неї завдань та за результатами узагальнення та аналізу інформації забезпечує підготовку пропозицій щодо:</w:t>
      </w:r>
    </w:p>
    <w:p w14:paraId="0A488255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визначення особливостей надання соціальних послуг у територіальній громаді під час дії надзвичайного або воєнного стану;</w:t>
      </w:r>
    </w:p>
    <w:p w14:paraId="1ABCA4AA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визначення соціальних послуг, у тому числі тих, які можуть надаватися екстрено (</w:t>
      </w:r>
      <w:proofErr w:type="spellStart"/>
      <w:r>
        <w:rPr>
          <w:szCs w:val="28"/>
        </w:rPr>
        <w:t>кризово</w:t>
      </w:r>
      <w:proofErr w:type="spellEnd"/>
      <w:r>
        <w:rPr>
          <w:szCs w:val="28"/>
        </w:rPr>
        <w:t>), у розвитку яких є потреба, забезпечення надання соціальних послуг в необхідних обсягах та залучення для цього відповідної кількості працівників надавачів соціальних послуг;</w:t>
      </w:r>
    </w:p>
    <w:p w14:paraId="5205C08F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надання надавачам соціальних послуг права приймати рішення про надання соціальних послуг екстрено (</w:t>
      </w:r>
      <w:proofErr w:type="spellStart"/>
      <w:r>
        <w:rPr>
          <w:szCs w:val="28"/>
        </w:rPr>
        <w:t>кризово</w:t>
      </w:r>
      <w:proofErr w:type="spellEnd"/>
      <w:r>
        <w:rPr>
          <w:szCs w:val="28"/>
        </w:rPr>
        <w:t>) особам/сім</w:t>
      </w:r>
      <w:r w:rsidRPr="009A149F">
        <w:rPr>
          <w:szCs w:val="28"/>
        </w:rPr>
        <w:t>’</w:t>
      </w:r>
      <w:r>
        <w:rPr>
          <w:szCs w:val="28"/>
        </w:rPr>
        <w:t xml:space="preserve">ям, які опинилася у складних життєвих обставинах через шкоду, завдану пожежею, стихійним лихом, </w:t>
      </w:r>
    </w:p>
    <w:p w14:paraId="41B90DA2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катастрофою, бойовими діями, терористичним актом, збройним конфліктом, тимчасовою окупацією;</w:t>
      </w:r>
    </w:p>
    <w:p w14:paraId="734CD7F7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lastRenderedPageBreak/>
        <w:t xml:space="preserve">     - коригування прогнозних та програмних документів економічного і соціального розвитку територіальної громади, включення до них заходів, спрямованих на забезпечення надання соціальних послуг, в яких є потреба, з урахуванням тих, які можуть надаватися екстрено (</w:t>
      </w:r>
      <w:proofErr w:type="spellStart"/>
      <w:r>
        <w:rPr>
          <w:szCs w:val="28"/>
        </w:rPr>
        <w:t>кризово</w:t>
      </w:r>
      <w:proofErr w:type="spellEnd"/>
      <w:r>
        <w:rPr>
          <w:szCs w:val="28"/>
        </w:rPr>
        <w:t>);</w:t>
      </w:r>
    </w:p>
    <w:p w14:paraId="66060FF2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залучення до надання соціальних послуг надавачів соціальних послуг недержавного сектору, здійснення співробітництва територіальних громад, перепрофілювання закладів, організацій і установ, що функціонують на території громади, для забезпечення надання соціальних послуг, залучення коштів з державного та місцевих бюджетів, інших джерел, не заборонених законодавством;</w:t>
      </w:r>
    </w:p>
    <w:p w14:paraId="119EA270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внесення розроблених пропозицій на засідання координаційної групи.</w:t>
      </w:r>
    </w:p>
    <w:p w14:paraId="0DCA6F45" w14:textId="5216DD2F" w:rsidR="00C45F0A" w:rsidRDefault="00C45F0A" w:rsidP="00EA26C3">
      <w:pPr>
        <w:pStyle w:val="af"/>
        <w:tabs>
          <w:tab w:val="left" w:pos="540"/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Узгоджені координаційною групою пропозиції передаються </w:t>
      </w:r>
      <w:r w:rsidR="00461D74">
        <w:rPr>
          <w:szCs w:val="28"/>
        </w:rPr>
        <w:t>сільському</w:t>
      </w:r>
      <w:r>
        <w:rPr>
          <w:szCs w:val="28"/>
        </w:rPr>
        <w:t xml:space="preserve"> голові для внесення змін до стратегії розвитку територіальної громади, плану заходів з реалізації стратегії розвитку територіальної громади, місцевих програм розвитку, програми економічного і соціального розвитку територіальної громади, інших прогнозних і програмних документів економічного і соціального розвитку територіальної громади в частині забезпечення потреб осіб/сімей у соціальних послугах, організації надання в територіальній громаді соціальних послуг в умовах надзвичайного або воєнного стану.</w:t>
      </w:r>
    </w:p>
    <w:p w14:paraId="2A1B4F9B" w14:textId="06DDDC51" w:rsidR="00C45F0A" w:rsidRDefault="00C45F0A" w:rsidP="00EA26C3">
      <w:pPr>
        <w:pStyle w:val="af"/>
        <w:tabs>
          <w:tab w:val="left" w:pos="540"/>
        </w:tabs>
        <w:ind w:hanging="360"/>
        <w:jc w:val="both"/>
        <w:rPr>
          <w:szCs w:val="28"/>
        </w:rPr>
      </w:pPr>
      <w:r>
        <w:rPr>
          <w:szCs w:val="28"/>
        </w:rPr>
        <w:t xml:space="preserve">      5. Координаційна група має право:</w:t>
      </w:r>
    </w:p>
    <w:p w14:paraId="74C9C738" w14:textId="77777777" w:rsidR="00C45F0A" w:rsidRDefault="00C45F0A" w:rsidP="00EA26C3">
      <w:pPr>
        <w:pStyle w:val="af"/>
        <w:ind w:hanging="360"/>
        <w:jc w:val="both"/>
        <w:rPr>
          <w:szCs w:val="28"/>
        </w:rPr>
      </w:pPr>
      <w:r>
        <w:rPr>
          <w:szCs w:val="28"/>
        </w:rPr>
        <w:t xml:space="preserve">     - подавати запити та отримувати в установленому порядку від підприємств, установ, організацій, їх об</w:t>
      </w:r>
      <w:r w:rsidRPr="00BE0F84">
        <w:rPr>
          <w:szCs w:val="28"/>
          <w:lang w:val="ru-RU"/>
        </w:rPr>
        <w:t>’</w:t>
      </w:r>
      <w:r>
        <w:rPr>
          <w:szCs w:val="28"/>
        </w:rPr>
        <w:t>єднань інформацію, необхідну для виконання покладених на неї завдань;</w:t>
      </w:r>
    </w:p>
    <w:p w14:paraId="7BECAE58" w14:textId="064D2E52" w:rsidR="00C45F0A" w:rsidRDefault="00C45F0A" w:rsidP="00EA26C3">
      <w:pPr>
        <w:pStyle w:val="af"/>
        <w:tabs>
          <w:tab w:val="left" w:pos="540"/>
          <w:tab w:val="left" w:pos="720"/>
          <w:tab w:val="left" w:pos="2880"/>
        </w:tabs>
        <w:ind w:hanging="360"/>
        <w:jc w:val="both"/>
        <w:rPr>
          <w:szCs w:val="28"/>
        </w:rPr>
      </w:pPr>
      <w:r>
        <w:rPr>
          <w:szCs w:val="28"/>
        </w:rPr>
        <w:t xml:space="preserve">     - залучати до участі у своїй роботі представників структурних підрозділів </w:t>
      </w:r>
      <w:r w:rsidR="00461D74">
        <w:rPr>
          <w:szCs w:val="28"/>
        </w:rPr>
        <w:t xml:space="preserve">сільської </w:t>
      </w:r>
      <w:r>
        <w:rPr>
          <w:szCs w:val="28"/>
        </w:rPr>
        <w:t>ради, об</w:t>
      </w:r>
      <w:r w:rsidRPr="00BE0F84">
        <w:rPr>
          <w:szCs w:val="28"/>
        </w:rPr>
        <w:t>’</w:t>
      </w:r>
      <w:r>
        <w:rPr>
          <w:szCs w:val="28"/>
        </w:rPr>
        <w:t>єднань громадян, підприємств, установ та організацій незалежно від їх форми власності (за погодженням з їх керівниками) для виконання покладених на неї завдань.</w:t>
      </w:r>
    </w:p>
    <w:p w14:paraId="41E961AD" w14:textId="50781C74" w:rsidR="00C45F0A" w:rsidRDefault="00C45F0A" w:rsidP="00EA26C3">
      <w:pPr>
        <w:pStyle w:val="af"/>
        <w:ind w:hanging="720"/>
        <w:jc w:val="both"/>
        <w:rPr>
          <w:szCs w:val="28"/>
        </w:rPr>
      </w:pPr>
      <w:r>
        <w:rPr>
          <w:szCs w:val="28"/>
        </w:rPr>
        <w:t xml:space="preserve">           6.</w:t>
      </w:r>
      <w:r w:rsidR="00461D74">
        <w:rPr>
          <w:szCs w:val="28"/>
        </w:rPr>
        <w:t xml:space="preserve"> </w:t>
      </w:r>
      <w:r>
        <w:rPr>
          <w:szCs w:val="28"/>
        </w:rPr>
        <w:t xml:space="preserve">Основною організаційною формою діяльності координаційної групи є засідання, які проводяться при виникненні потреби в оперативному реагуванні на актуальні потреби населення у соціальних послугах. Координаційна група діє до припинення/скасування надзвичайного або воєнного стану. </w:t>
      </w:r>
    </w:p>
    <w:p w14:paraId="3154FF7E" w14:textId="10C855E0" w:rsidR="00C45F0A" w:rsidRDefault="00C45F0A" w:rsidP="00EA26C3">
      <w:pPr>
        <w:pStyle w:val="af"/>
        <w:tabs>
          <w:tab w:val="left" w:pos="540"/>
        </w:tabs>
        <w:ind w:hanging="360"/>
        <w:jc w:val="both"/>
        <w:rPr>
          <w:szCs w:val="28"/>
        </w:rPr>
      </w:pPr>
      <w:r>
        <w:rPr>
          <w:szCs w:val="28"/>
        </w:rPr>
        <w:t xml:space="preserve">      7.Пропозиції координаційної групи оформлюються протоколом, який підписується головою координаційної групи, секретарем та не менш як одним представником отримувачів соціальних послуг та їх об</w:t>
      </w:r>
      <w:r w:rsidRPr="001A1BBE">
        <w:rPr>
          <w:szCs w:val="28"/>
        </w:rPr>
        <w:t>’</w:t>
      </w:r>
      <w:r>
        <w:rPr>
          <w:szCs w:val="28"/>
        </w:rPr>
        <w:t>єднань, громадських об</w:t>
      </w:r>
      <w:r w:rsidRPr="001A1BBE">
        <w:rPr>
          <w:szCs w:val="28"/>
        </w:rPr>
        <w:t>’</w:t>
      </w:r>
      <w:r>
        <w:rPr>
          <w:szCs w:val="28"/>
        </w:rPr>
        <w:t xml:space="preserve">єднань, благодійних, релігійних організацій, представників вразливих груп населення. Засідання Координаційної групи веде голова, а за його відсутності – заступник голови. </w:t>
      </w:r>
    </w:p>
    <w:p w14:paraId="24DA4FDB" w14:textId="3328F300" w:rsidR="00C45F0A" w:rsidRDefault="00C45F0A" w:rsidP="00EA26C3">
      <w:pPr>
        <w:pStyle w:val="af"/>
        <w:tabs>
          <w:tab w:val="left" w:pos="540"/>
        </w:tabs>
        <w:ind w:hanging="720"/>
        <w:jc w:val="both"/>
        <w:rPr>
          <w:szCs w:val="28"/>
        </w:rPr>
      </w:pPr>
      <w:r>
        <w:rPr>
          <w:szCs w:val="28"/>
        </w:rPr>
        <w:t xml:space="preserve">           8.Порядок денний засідання координаційної групи формується  її секретарем відповідно до пропозицій членів координаційної групи. Засідання координаційної групи вважається правомочним, якщо на ньому присутні більш як половина її членів. </w:t>
      </w:r>
    </w:p>
    <w:p w14:paraId="6636382F" w14:textId="77777777" w:rsidR="00C45F0A" w:rsidRDefault="00C45F0A" w:rsidP="00EA26C3">
      <w:pPr>
        <w:pStyle w:val="af"/>
        <w:tabs>
          <w:tab w:val="left" w:pos="540"/>
        </w:tabs>
        <w:ind w:hanging="360"/>
        <w:jc w:val="both"/>
        <w:rPr>
          <w:szCs w:val="28"/>
        </w:rPr>
      </w:pPr>
      <w:r>
        <w:rPr>
          <w:szCs w:val="28"/>
        </w:rPr>
        <w:t xml:space="preserve">            На своїх засіданнях координаційна група розробляє пропозиції та рекомендації з питань, що належать до її компетенції. </w:t>
      </w:r>
    </w:p>
    <w:p w14:paraId="491642AF" w14:textId="77777777" w:rsidR="00C45F0A" w:rsidRDefault="00C45F0A" w:rsidP="00EA26C3">
      <w:pPr>
        <w:pStyle w:val="af"/>
        <w:jc w:val="both"/>
        <w:rPr>
          <w:szCs w:val="28"/>
        </w:rPr>
      </w:pPr>
      <w:r>
        <w:rPr>
          <w:szCs w:val="28"/>
        </w:rPr>
        <w:t xml:space="preserve">       Пропозиції та рекомендації вважаються схваленими, якщо за них проголосувало більш як половина присутніх на засіданні членів координаційної групи. </w:t>
      </w:r>
    </w:p>
    <w:p w14:paraId="760904B8" w14:textId="77777777" w:rsidR="00C45F0A" w:rsidRDefault="00C45F0A" w:rsidP="00EA26C3">
      <w:pPr>
        <w:pStyle w:val="af"/>
        <w:tabs>
          <w:tab w:val="left" w:pos="540"/>
        </w:tabs>
        <w:jc w:val="both"/>
        <w:rPr>
          <w:szCs w:val="28"/>
        </w:rPr>
      </w:pPr>
      <w:r>
        <w:rPr>
          <w:szCs w:val="28"/>
        </w:rPr>
        <w:t xml:space="preserve">       У разі рівного розподілу голосів вирішальним є голос головуючого на засіданні.</w:t>
      </w:r>
    </w:p>
    <w:p w14:paraId="5306FC2E" w14:textId="77777777" w:rsidR="00C45F0A" w:rsidRDefault="00C45F0A" w:rsidP="00EA26C3">
      <w:pPr>
        <w:pStyle w:val="af"/>
        <w:ind w:firstLine="360"/>
        <w:jc w:val="both"/>
        <w:rPr>
          <w:szCs w:val="28"/>
        </w:rPr>
      </w:pPr>
      <w:r>
        <w:rPr>
          <w:szCs w:val="28"/>
        </w:rPr>
        <w:lastRenderedPageBreak/>
        <w:t xml:space="preserve">  Член координаційної групи,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14:paraId="4E055BEF" w14:textId="77777777" w:rsidR="00C45F0A" w:rsidRDefault="00C45F0A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  <w:r>
        <w:rPr>
          <w:szCs w:val="28"/>
        </w:rPr>
        <w:t xml:space="preserve">                 Організаційне забезпечення діяльності координаційної групи здійснюється управлінням соціального захисту населення.</w:t>
      </w:r>
    </w:p>
    <w:p w14:paraId="38D89807" w14:textId="77777777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</w:p>
    <w:p w14:paraId="6D941550" w14:textId="77777777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</w:p>
    <w:p w14:paraId="2C11DB68" w14:textId="77777777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</w:p>
    <w:p w14:paraId="57BE6CEE" w14:textId="77777777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</w:p>
    <w:p w14:paraId="3C784831" w14:textId="77777777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</w:p>
    <w:p w14:paraId="6CF2C16F" w14:textId="16A1C2C1" w:rsidR="00872335" w:rsidRDefault="00872335" w:rsidP="00EA26C3">
      <w:pPr>
        <w:pStyle w:val="af"/>
        <w:tabs>
          <w:tab w:val="left" w:pos="180"/>
          <w:tab w:val="left" w:pos="540"/>
        </w:tabs>
        <w:ind w:hanging="720"/>
        <w:jc w:val="both"/>
        <w:rPr>
          <w:szCs w:val="28"/>
        </w:rPr>
      </w:pPr>
      <w:r>
        <w:rPr>
          <w:szCs w:val="28"/>
        </w:rPr>
        <w:t xml:space="preserve">        Сільський голова                                                                         </w:t>
      </w:r>
      <w:r w:rsidRPr="00872335">
        <w:rPr>
          <w:b/>
          <w:bCs/>
          <w:szCs w:val="28"/>
        </w:rPr>
        <w:t>Віктор СУЩИК</w:t>
      </w:r>
    </w:p>
    <w:p w14:paraId="3EA4B6E4" w14:textId="77777777" w:rsidR="00C45F0A" w:rsidRDefault="00C45F0A" w:rsidP="00EA26C3">
      <w:pPr>
        <w:pStyle w:val="af"/>
        <w:tabs>
          <w:tab w:val="left" w:pos="180"/>
        </w:tabs>
        <w:ind w:hanging="720"/>
        <w:jc w:val="both"/>
        <w:rPr>
          <w:szCs w:val="28"/>
        </w:rPr>
      </w:pPr>
    </w:p>
    <w:p w14:paraId="50092537" w14:textId="77777777" w:rsidR="00C45F0A" w:rsidRDefault="00C45F0A" w:rsidP="00EA26C3">
      <w:pPr>
        <w:pStyle w:val="af"/>
        <w:tabs>
          <w:tab w:val="left" w:pos="180"/>
        </w:tabs>
        <w:ind w:hanging="720"/>
        <w:jc w:val="both"/>
        <w:rPr>
          <w:szCs w:val="28"/>
        </w:rPr>
      </w:pPr>
    </w:p>
    <w:p w14:paraId="4588146B" w14:textId="24F78357" w:rsidR="00C45F0A" w:rsidRPr="00980378" w:rsidRDefault="00C45F0A" w:rsidP="00203177">
      <w:pPr>
        <w:pStyle w:val="af"/>
        <w:tabs>
          <w:tab w:val="left" w:pos="180"/>
        </w:tabs>
        <w:jc w:val="both"/>
        <w:rPr>
          <w:sz w:val="24"/>
        </w:rPr>
      </w:pPr>
    </w:p>
    <w:p w14:paraId="108427D6" w14:textId="77777777" w:rsidR="00C45F0A" w:rsidRDefault="00C45F0A" w:rsidP="00203177">
      <w:pPr>
        <w:pStyle w:val="af"/>
        <w:ind w:left="-360"/>
        <w:jc w:val="both"/>
        <w:rPr>
          <w:szCs w:val="28"/>
        </w:rPr>
      </w:pPr>
    </w:p>
    <w:p w14:paraId="38F903DA" w14:textId="77777777" w:rsidR="00C45F0A" w:rsidRDefault="00C45F0A" w:rsidP="00203177">
      <w:pPr>
        <w:pStyle w:val="af"/>
        <w:ind w:left="-360"/>
        <w:jc w:val="both"/>
        <w:rPr>
          <w:sz w:val="24"/>
        </w:rPr>
      </w:pPr>
      <w:r>
        <w:rPr>
          <w:szCs w:val="28"/>
        </w:rPr>
        <w:t xml:space="preserve">     </w:t>
      </w:r>
    </w:p>
    <w:p w14:paraId="362A1957" w14:textId="1A5EB1AF" w:rsidR="00BA2DB2" w:rsidRDefault="00BA2DB2" w:rsidP="00203177">
      <w:pPr>
        <w:jc w:val="both"/>
      </w:pPr>
    </w:p>
    <w:sectPr w:rsidR="00BA2DB2" w:rsidSect="00EA26C3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7A58B" w14:textId="77777777" w:rsidR="00DE61B6" w:rsidRDefault="00DE61B6" w:rsidP="00EB4185">
      <w:pPr>
        <w:spacing w:after="0" w:line="240" w:lineRule="auto"/>
      </w:pPr>
      <w:r>
        <w:separator/>
      </w:r>
    </w:p>
  </w:endnote>
  <w:endnote w:type="continuationSeparator" w:id="0">
    <w:p w14:paraId="4439DBAB" w14:textId="77777777" w:rsidR="00DE61B6" w:rsidRDefault="00DE61B6" w:rsidP="00EB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30BC" w14:textId="77777777" w:rsidR="00DE61B6" w:rsidRDefault="00DE61B6" w:rsidP="00EB4185">
      <w:pPr>
        <w:spacing w:after="0" w:line="240" w:lineRule="auto"/>
      </w:pPr>
      <w:r>
        <w:separator/>
      </w:r>
    </w:p>
  </w:footnote>
  <w:footnote w:type="continuationSeparator" w:id="0">
    <w:p w14:paraId="5024021A" w14:textId="77777777" w:rsidR="00DE61B6" w:rsidRDefault="00DE61B6" w:rsidP="00EB4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268F8"/>
    <w:rsid w:val="00034735"/>
    <w:rsid w:val="0006510D"/>
    <w:rsid w:val="000871CF"/>
    <w:rsid w:val="000B3C78"/>
    <w:rsid w:val="000E3225"/>
    <w:rsid w:val="00111C45"/>
    <w:rsid w:val="00116A92"/>
    <w:rsid w:val="00190C61"/>
    <w:rsid w:val="00197554"/>
    <w:rsid w:val="001A0EED"/>
    <w:rsid w:val="00203177"/>
    <w:rsid w:val="00220D69"/>
    <w:rsid w:val="002269EF"/>
    <w:rsid w:val="002550AC"/>
    <w:rsid w:val="0027374E"/>
    <w:rsid w:val="003067CC"/>
    <w:rsid w:val="00313712"/>
    <w:rsid w:val="00322E9A"/>
    <w:rsid w:val="00361E1C"/>
    <w:rsid w:val="00414506"/>
    <w:rsid w:val="00456451"/>
    <w:rsid w:val="0045722F"/>
    <w:rsid w:val="00461D74"/>
    <w:rsid w:val="004903E1"/>
    <w:rsid w:val="00537E70"/>
    <w:rsid w:val="00587EBC"/>
    <w:rsid w:val="005C7449"/>
    <w:rsid w:val="005D10FA"/>
    <w:rsid w:val="00605249"/>
    <w:rsid w:val="00653166"/>
    <w:rsid w:val="006D2E52"/>
    <w:rsid w:val="007906F0"/>
    <w:rsid w:val="007F1295"/>
    <w:rsid w:val="00814A51"/>
    <w:rsid w:val="00815467"/>
    <w:rsid w:val="00872335"/>
    <w:rsid w:val="009E5CD1"/>
    <w:rsid w:val="00A002E7"/>
    <w:rsid w:val="00A03B67"/>
    <w:rsid w:val="00A82F56"/>
    <w:rsid w:val="00AC7F5A"/>
    <w:rsid w:val="00B34227"/>
    <w:rsid w:val="00B50140"/>
    <w:rsid w:val="00BA2DB2"/>
    <w:rsid w:val="00BE3DB3"/>
    <w:rsid w:val="00C24F3F"/>
    <w:rsid w:val="00C3133F"/>
    <w:rsid w:val="00C45F0A"/>
    <w:rsid w:val="00C67109"/>
    <w:rsid w:val="00C71E00"/>
    <w:rsid w:val="00D01E96"/>
    <w:rsid w:val="00D07A57"/>
    <w:rsid w:val="00DA0589"/>
    <w:rsid w:val="00DE61B6"/>
    <w:rsid w:val="00E436BB"/>
    <w:rsid w:val="00E500D3"/>
    <w:rsid w:val="00E55835"/>
    <w:rsid w:val="00E85261"/>
    <w:rsid w:val="00EA26C3"/>
    <w:rsid w:val="00EA4553"/>
    <w:rsid w:val="00EB4185"/>
    <w:rsid w:val="00EF7ED9"/>
    <w:rsid w:val="00F91496"/>
    <w:rsid w:val="00FE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034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unhideWhenUsed/>
    <w:rsid w:val="00A002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ий текст Знак"/>
    <w:basedOn w:val="a0"/>
    <w:link w:val="af"/>
    <w:rsid w:val="00A002E7"/>
    <w:rPr>
      <w:rFonts w:ascii="Times New Roman" w:eastAsia="Times New Roman" w:hAnsi="Times New Roman" w:cs="Times New Roman"/>
      <w:kern w:val="0"/>
      <w:sz w:val="28"/>
      <w:lang w:eastAsia="ru-RU"/>
      <w14:ligatures w14:val="none"/>
    </w:rPr>
  </w:style>
  <w:style w:type="table" w:styleId="af1">
    <w:name w:val="Table Grid"/>
    <w:basedOn w:val="a1"/>
    <w:uiPriority w:val="39"/>
    <w:rsid w:val="00A002E7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EB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Верхній колонтитул Знак"/>
    <w:basedOn w:val="a0"/>
    <w:link w:val="af2"/>
    <w:uiPriority w:val="99"/>
    <w:rsid w:val="00EB4185"/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af4">
    <w:name w:val="footer"/>
    <w:basedOn w:val="a"/>
    <w:link w:val="af5"/>
    <w:uiPriority w:val="99"/>
    <w:unhideWhenUsed/>
    <w:rsid w:val="00EB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Нижній колонтитул Знак"/>
    <w:basedOn w:val="a0"/>
    <w:link w:val="af4"/>
    <w:uiPriority w:val="99"/>
    <w:rsid w:val="00EB4185"/>
    <w:rPr>
      <w:rFonts w:eastAsiaTheme="minorEastAsia"/>
      <w:kern w:val="0"/>
      <w:sz w:val="22"/>
      <w:szCs w:val="22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0FFEF-5D6C-470B-B4E3-E41C4C2A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6577</Words>
  <Characters>3750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24</cp:revision>
  <cp:lastPrinted>2024-10-24T12:37:00Z</cp:lastPrinted>
  <dcterms:created xsi:type="dcterms:W3CDTF">2024-10-11T08:58:00Z</dcterms:created>
  <dcterms:modified xsi:type="dcterms:W3CDTF">2024-10-24T12:38:00Z</dcterms:modified>
</cp:coreProperties>
</file>